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360"/>
      </w:pPr>
    </w:p>
    <w:p>
      <w:pPr>
        <w:spacing w:after="80" w:before="0"/>
      </w:pPr>
      <w:r>
        <w:rPr>
          <w:rFonts w:ascii="Arial" w:hAnsi="Arial"/>
          <w:b/>
          <w:i w:val="0"/>
          <w:color w:val="1C2B1E"/>
          <w:sz w:val="40"/>
        </w:rPr>
        <w:t>PLAN CIĄGŁOŚCI DZIAŁANIA</w:t>
      </w:r>
    </w:p>
    <w:p>
      <w:pPr>
        <w:spacing w:after="80" w:before="0"/>
      </w:pPr>
      <w:r>
        <w:rPr>
          <w:rFonts w:ascii="Arial" w:hAnsi="Arial"/>
          <w:b w:val="0"/>
          <w:i w:val="0"/>
          <w:color w:val="3D6B41"/>
          <w:sz w:val="26"/>
        </w:rPr>
        <w:t>Szablon dla organizacji pozarządowej</w:t>
      </w:r>
    </w:p>
    <w:p>
      <w:pPr>
        <w:spacing w:after="200"/>
        <w:pBdr>
          <w:bottom w:val="single" w:sz="12" w:space="6" w:color="C8712A"/>
        </w:pBdr>
      </w:pPr>
    </w:p>
    <w:p>
      <w:pPr>
        <w:spacing w:after="160" w:before="0"/>
      </w:pPr>
      <w:r>
        <w:rPr>
          <w:rFonts w:ascii="Arial" w:hAnsi="Arial"/>
          <w:b w:val="0"/>
          <w:i/>
          <w:color w:val="5F6B60"/>
          <w:sz w:val="17"/>
        </w:rPr>
        <w:t>Jak korzystać: to szablon do wypełnienia. Pola opisane kursywą zastąp treścią właściwą dla swojej organizacji. Wypełnienie zajmuje 1–2 godziny — najlepiej zespołowo. Gotowy plan trzymaj w miejscu dostępnym offline (wydruk) oraz cyfrowo poza siedzibą (chmura, e-mail).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space="0" w:color="D4DAD1"/>
          <w:left w:val="single" w:sz="4" w:space="0" w:color="D4DAD1"/>
          <w:bottom w:val="single" w:sz="4" w:space="0" w:color="D4DAD1"/>
          <w:right w:val="single" w:sz="4" w:space="0" w:color="D4DAD1"/>
          <w:insideH w:val="single" w:sz="4" w:space="0" w:color="D4DAD1"/>
          <w:insideV w:val="single" w:sz="4" w:space="0" w:color="D4DAD1"/>
        </w:tblBorders>
      </w:tblPr>
      <w:tblGrid>
        <w:gridCol w:w="4986"/>
        <w:gridCol w:w="4986"/>
      </w:tblGrid>
      <w:tr>
        <w:tc>
          <w:tcPr>
            <w:tcW w:type="dxa" w:w="311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Pole</w:t>
            </w:r>
          </w:p>
        </w:tc>
        <w:tc>
          <w:tcPr>
            <w:tcW w:type="dxa" w:w="6803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Treść</w:t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Nazwa organizacji</w:t>
            </w:r>
          </w:p>
        </w:tc>
        <w:tc>
          <w:tcPr>
            <w:tcW w:type="dxa" w:w="6803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Data sporządzenia planu</w:t>
            </w:r>
          </w:p>
        </w:tc>
        <w:tc>
          <w:tcPr>
            <w:tcW w:type="dxa" w:w="6803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Autor / opiekun planu</w:t>
            </w:r>
          </w:p>
        </w:tc>
        <w:tc>
          <w:tcPr>
            <w:tcW w:type="dxa" w:w="6803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Data następnego przeglądu</w:t>
            </w:r>
          </w:p>
        </w:tc>
        <w:tc>
          <w:tcPr>
            <w:tcW w:type="dxa" w:w="6803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Wersja</w:t>
            </w:r>
          </w:p>
        </w:tc>
        <w:tc>
          <w:tcPr>
            <w:tcW w:type="dxa" w:w="6803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20" w:before="280"/>
      </w:pPr>
      <w:r>
        <w:rPr>
          <w:rFonts w:ascii="Arial" w:hAnsi="Arial"/>
          <w:b/>
          <w:i w:val="0"/>
          <w:color w:val="3D6B41"/>
          <w:sz w:val="30"/>
        </w:rPr>
        <w:t>1. Kluczowe funkcje organizacji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C2B1E"/>
          <w:sz w:val="21"/>
        </w:rPr>
        <w:t>Wypisz działania, bez których organizacja nie może funkcjonować dłużej niż kilka dni. Uszereguj je: co musi działać w pierwszej kolejności, gdy zasoby są ograniczone.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space="0" w:color="D4DAD1"/>
          <w:left w:val="single" w:sz="4" w:space="0" w:color="D4DAD1"/>
          <w:bottom w:val="single" w:sz="4" w:space="0" w:color="D4DAD1"/>
          <w:right w:val="single" w:sz="4" w:space="0" w:color="D4DAD1"/>
          <w:insideH w:val="single" w:sz="4" w:space="0" w:color="D4DAD1"/>
          <w:insideV w:val="single" w:sz="4" w:space="0" w:color="D4DAD1"/>
        </w:tblBorders>
      </w:tblPr>
      <w:tblGrid>
        <w:gridCol w:w="3324"/>
        <w:gridCol w:w="3324"/>
        <w:gridCol w:w="3324"/>
      </w:tblGrid>
      <w:tr>
        <w:tc>
          <w:tcPr>
            <w:tcW w:type="dxa" w:w="3685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Funkcja / działanie</w:t>
            </w:r>
          </w:p>
        </w:tc>
        <w:tc>
          <w:tcPr>
            <w:tcW w:type="dxa" w:w="4535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Dlaczego krytyczna</w:t>
            </w:r>
          </w:p>
        </w:tc>
        <w:tc>
          <w:tcPr>
            <w:tcW w:type="dxa" w:w="1701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Maks. przerwa</w:t>
            </w:r>
          </w:p>
        </w:tc>
      </w:tr>
      <w:tr>
        <w:tc>
          <w:tcPr>
            <w:tcW w:type="dxa" w:w="368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453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170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68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453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170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68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453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170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68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453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170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</w:tbl>
    <w:p>
      <w:pPr>
        <w:spacing w:after="40"/>
      </w:pPr>
    </w:p>
    <w:p>
      <w:pPr>
        <w:spacing w:after="160" w:before="0"/>
      </w:pPr>
      <w:r>
        <w:rPr>
          <w:rFonts w:ascii="Arial" w:hAnsi="Arial"/>
          <w:b w:val="0"/>
          <w:i/>
          <w:color w:val="5F6B60"/>
          <w:sz w:val="17"/>
        </w:rPr>
        <w:t>Przykład: „Wypłata świadczeń podopiecznym” · „Podopieczni zależą od terminowych wypłat” · „48 h”.</w:t>
      </w:r>
    </w:p>
    <w:p>
      <w:pPr>
        <w:spacing w:after="120" w:before="280"/>
      </w:pPr>
      <w:r>
        <w:rPr>
          <w:rFonts w:ascii="Arial" w:hAnsi="Arial"/>
          <w:b/>
          <w:i w:val="0"/>
          <w:color w:val="3D6B41"/>
          <w:sz w:val="30"/>
        </w:rPr>
        <w:t>2. Zagrożenia dla ciągłości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C2B1E"/>
          <w:sz w:val="21"/>
        </w:rPr>
        <w:t>Zaznacz zagrożenia realne dla Waszej organizacji i dopisz własne. Przy każdym oceń prawdopodobieństwo i dotkliwość skutku.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space="0" w:color="D4DAD1"/>
          <w:left w:val="single" w:sz="4" w:space="0" w:color="D4DAD1"/>
          <w:bottom w:val="single" w:sz="4" w:space="0" w:color="D4DAD1"/>
          <w:right w:val="single" w:sz="4" w:space="0" w:color="D4DAD1"/>
          <w:insideH w:val="single" w:sz="4" w:space="0" w:color="D4DAD1"/>
          <w:insideV w:val="single" w:sz="4" w:space="0" w:color="D4DAD1"/>
        </w:tblBorders>
      </w:tblPr>
      <w:tblGrid>
        <w:gridCol w:w="3324"/>
        <w:gridCol w:w="3324"/>
        <w:gridCol w:w="3324"/>
      </w:tblGrid>
      <w:tr>
        <w:tc>
          <w:tcPr>
            <w:tcW w:type="dxa" w:w="4819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Zagrożenie</w:t>
            </w:r>
          </w:p>
        </w:tc>
        <w:tc>
          <w:tcPr>
            <w:tcW w:type="dxa" w:w="2551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Prawdopodobne? (N/Ś/W)</w:t>
            </w:r>
          </w:p>
        </w:tc>
        <w:tc>
          <w:tcPr>
            <w:tcW w:type="dxa" w:w="2551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Skutek (N/Ś/W)</w:t>
            </w:r>
          </w:p>
        </w:tc>
      </w:tr>
      <w:tr>
        <w:tc>
          <w:tcPr>
            <w:tcW w:type="dxa" w:w="4819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Utrata siedziby (pożar, powódź, zalanie)</w:t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4819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Długotrwały brak prądu lub internetu</w:t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4819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Wypadnięcie kluczowej osoby (choroba, wyjazd)</w:t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4819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Utrata dostępu do danych lub systemów</w:t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4819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Nagły brak finansowania</w:t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4819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</w:tbl>
    <w:p>
      <w:pPr>
        <w:spacing w:after="40"/>
      </w:pPr>
    </w:p>
    <w:p>
      <w:pPr>
        <w:spacing w:after="160" w:before="0"/>
      </w:pPr>
      <w:r>
        <w:rPr>
          <w:rFonts w:ascii="Arial" w:hAnsi="Arial"/>
          <w:b w:val="0"/>
          <w:i/>
          <w:color w:val="5F6B60"/>
          <w:sz w:val="17"/>
        </w:rPr>
        <w:t>N = niskie, Ś = średnie, W = wysokie. Skup działania na zagrożeniach ocenionych wysoko w obu kolumnach.</w:t>
      </w:r>
    </w:p>
    <w:p>
      <w:r>
        <w:br w:type="page"/>
      </w:r>
    </w:p>
    <w:p>
      <w:pPr>
        <w:spacing w:after="120" w:before="280"/>
      </w:pPr>
      <w:r>
        <w:rPr>
          <w:rFonts w:ascii="Arial" w:hAnsi="Arial"/>
          <w:b/>
          <w:i w:val="0"/>
          <w:color w:val="3D6B41"/>
          <w:sz w:val="30"/>
        </w:rPr>
        <w:t>3. Zasoby minimalne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C2B1E"/>
          <w:sz w:val="21"/>
        </w:rPr>
        <w:t>Co jest niezbędne, by utrzymać kluczowe funkcje z punktu 1: ludzie, sprzęt, dostęp do systemów, lokalizacja zapasowa.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space="0" w:color="D4DAD1"/>
          <w:left w:val="single" w:sz="4" w:space="0" w:color="D4DAD1"/>
          <w:bottom w:val="single" w:sz="4" w:space="0" w:color="D4DAD1"/>
          <w:right w:val="single" w:sz="4" w:space="0" w:color="D4DAD1"/>
          <w:insideH w:val="single" w:sz="4" w:space="0" w:color="D4DAD1"/>
          <w:insideV w:val="single" w:sz="4" w:space="0" w:color="D4DAD1"/>
        </w:tblBorders>
      </w:tblPr>
      <w:tblGrid>
        <w:gridCol w:w="3324"/>
        <w:gridCol w:w="3324"/>
        <w:gridCol w:w="3324"/>
      </w:tblGrid>
      <w:tr>
        <w:tc>
          <w:tcPr>
            <w:tcW w:type="dxa" w:w="311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Zasób</w:t>
            </w:r>
          </w:p>
        </w:tc>
        <w:tc>
          <w:tcPr>
            <w:tcW w:type="dxa" w:w="3402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Gdzie / u kogo</w:t>
            </w:r>
          </w:p>
        </w:tc>
        <w:tc>
          <w:tcPr>
            <w:tcW w:type="dxa" w:w="3402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Alternatywa, gdy niedostępny</w:t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40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</w:tbl>
    <w:p>
      <w:pPr>
        <w:spacing w:after="40"/>
      </w:pPr>
    </w:p>
    <w:p>
      <w:pPr>
        <w:spacing w:after="160" w:before="0"/>
      </w:pPr>
      <w:r>
        <w:rPr>
          <w:rFonts w:ascii="Arial" w:hAnsi="Arial"/>
          <w:b w:val="0"/>
          <w:i/>
          <w:color w:val="5F6B60"/>
          <w:sz w:val="17"/>
        </w:rPr>
        <w:t>Przykład: „Baza kontaktów podopiecznych” · „Chmura + wydruk u koordynatora” · „Kopia u zastępcy”.</w:t>
      </w:r>
    </w:p>
    <w:p>
      <w:pPr>
        <w:spacing w:after="120" w:before="280"/>
      </w:pPr>
      <w:r>
        <w:rPr>
          <w:rFonts w:ascii="Arial" w:hAnsi="Arial"/>
          <w:b/>
          <w:i w:val="0"/>
          <w:color w:val="3D6B41"/>
          <w:sz w:val="30"/>
        </w:rPr>
        <w:t>4. Role i zastępstwa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C2B1E"/>
          <w:sz w:val="21"/>
        </w:rPr>
        <w:t>Kto odpowiada za co w sytuacji kryzysowej — i kto go zastąpi, gdy będzie niedostępny. Zasada: każda kluczowa rola ma wyznaczonego zastępcę.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space="0" w:color="D4DAD1"/>
          <w:left w:val="single" w:sz="4" w:space="0" w:color="D4DAD1"/>
          <w:bottom w:val="single" w:sz="4" w:space="0" w:color="D4DAD1"/>
          <w:right w:val="single" w:sz="4" w:space="0" w:color="D4DAD1"/>
          <w:insideH w:val="single" w:sz="4" w:space="0" w:color="D4DAD1"/>
          <w:insideV w:val="single" w:sz="4" w:space="0" w:color="D4DAD1"/>
        </w:tblBorders>
      </w:tblPr>
      <w:tblGrid>
        <w:gridCol w:w="2493"/>
        <w:gridCol w:w="2493"/>
        <w:gridCol w:w="2493"/>
        <w:gridCol w:w="2493"/>
      </w:tblGrid>
      <w:tr>
        <w:tc>
          <w:tcPr>
            <w:tcW w:type="dxa" w:w="311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Rola / zadanie</w:t>
            </w:r>
          </w:p>
        </w:tc>
        <w:tc>
          <w:tcPr>
            <w:tcW w:type="dxa" w:w="226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Osoba</w:t>
            </w:r>
          </w:p>
        </w:tc>
        <w:tc>
          <w:tcPr>
            <w:tcW w:type="dxa" w:w="226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Zastępca</w:t>
            </w:r>
          </w:p>
        </w:tc>
        <w:tc>
          <w:tcPr>
            <w:tcW w:type="dxa" w:w="226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Telefon</w:t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Decyzje i kierowanie</w:t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Kontakt z podopiecznymi</w:t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Finanse i wypłaty</w:t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Łączność i informacja</w:t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226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20" w:before="280"/>
      </w:pPr>
      <w:r>
        <w:rPr>
          <w:rFonts w:ascii="Arial" w:hAnsi="Arial"/>
          <w:b/>
          <w:i w:val="0"/>
          <w:color w:val="3D6B41"/>
          <w:sz w:val="30"/>
        </w:rPr>
        <w:t>5. Procedury awaryjne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C2B1E"/>
          <w:sz w:val="21"/>
        </w:rPr>
        <w:t>Krótko opisz, co robicie w każdym z głównych scenariuszy. Trzy–cztery kroki na scenariusz w zupełności wystarczą — chodzi o kierunek, nie o instrukcję.</w:t>
      </w:r>
    </w:p>
    <w:p>
      <w:pPr>
        <w:spacing w:after="80" w:before="0"/>
      </w:pPr>
      <w:r>
        <w:rPr>
          <w:rFonts w:ascii="Arial" w:hAnsi="Arial"/>
          <w:b/>
          <w:i w:val="0"/>
          <w:color w:val="1C2B1E"/>
          <w:sz w:val="20"/>
        </w:rPr>
        <w:t>Scenariusz A: utrata siedziby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1: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2: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3:</w:t>
      </w:r>
    </w:p>
    <w:p>
      <w:pPr>
        <w:spacing w:after="80" w:before="160"/>
      </w:pPr>
      <w:r>
        <w:rPr>
          <w:rFonts w:ascii="Arial" w:hAnsi="Arial"/>
          <w:b/>
          <w:i w:val="0"/>
          <w:color w:val="1C2B1E"/>
          <w:sz w:val="20"/>
        </w:rPr>
        <w:t>Scenariusz B: brak prądu i internetu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1: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2: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3:</w:t>
      </w:r>
    </w:p>
    <w:p>
      <w:pPr>
        <w:spacing w:after="80" w:before="160"/>
      </w:pPr>
      <w:r>
        <w:rPr>
          <w:rFonts w:ascii="Arial" w:hAnsi="Arial"/>
          <w:b/>
          <w:i w:val="0"/>
          <w:color w:val="1C2B1E"/>
          <w:sz w:val="20"/>
        </w:rPr>
        <w:t>Scenariusz C: wypadnięcie kluczowej osoby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1: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2:</w:t>
      </w:r>
    </w:p>
    <w:p>
      <w:pPr>
        <w:spacing w:after="60"/>
        <w:pBdr>
          <w:bottom w:val="single" w:sz="4" w:space="2" w:color="D4DAD1"/>
        </w:pBdr>
      </w:pPr>
      <w:r>
        <w:rPr>
          <w:rFonts w:ascii="Arial" w:hAnsi="Arial"/>
          <w:b w:val="0"/>
          <w:i w:val="0"/>
          <w:color w:val="5F6B60"/>
          <w:sz w:val="20"/>
        </w:rPr>
        <w:t>Krok 3:</w:t>
      </w:r>
    </w:p>
    <w:p>
      <w:r>
        <w:br w:type="page"/>
      </w:r>
    </w:p>
    <w:p>
      <w:pPr>
        <w:spacing w:after="120" w:before="280"/>
      </w:pPr>
      <w:r>
        <w:rPr>
          <w:rFonts w:ascii="Arial" w:hAnsi="Arial"/>
          <w:b/>
          <w:i w:val="0"/>
          <w:color w:val="3D6B41"/>
          <w:sz w:val="30"/>
        </w:rPr>
        <w:t>6. Łączność i kontakty awaryjne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C2B1E"/>
          <w:sz w:val="21"/>
        </w:rPr>
        <w:t>Numery i kanały, po które sięgniecie, gdy zawiedzie codzienna komunikacja. Ustalcie kanał zapasowy oraz punkt kontaktowy „na wypadek gdyby”.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space="0" w:color="D4DAD1"/>
          <w:left w:val="single" w:sz="4" w:space="0" w:color="D4DAD1"/>
          <w:bottom w:val="single" w:sz="4" w:space="0" w:color="D4DAD1"/>
          <w:right w:val="single" w:sz="4" w:space="0" w:color="D4DAD1"/>
          <w:insideH w:val="single" w:sz="4" w:space="0" w:color="D4DAD1"/>
          <w:insideV w:val="single" w:sz="4" w:space="0" w:color="D4DAD1"/>
        </w:tblBorders>
      </w:tblPr>
      <w:tblGrid>
        <w:gridCol w:w="3324"/>
        <w:gridCol w:w="3324"/>
        <w:gridCol w:w="3324"/>
      </w:tblGrid>
      <w:tr>
        <w:tc>
          <w:tcPr>
            <w:tcW w:type="dxa" w:w="328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Kontakt</w:t>
            </w:r>
          </w:p>
        </w:tc>
        <w:tc>
          <w:tcPr>
            <w:tcW w:type="dxa" w:w="3345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Osoba / instytucja</w:t>
            </w:r>
          </w:p>
        </w:tc>
        <w:tc>
          <w:tcPr>
            <w:tcW w:type="dxa" w:w="328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Telefon / kanał</w:t>
            </w:r>
          </w:p>
        </w:tc>
      </w:tr>
      <w:tr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Koordynator organizacji</w:t>
            </w:r>
          </w:p>
        </w:tc>
        <w:tc>
          <w:tcPr>
            <w:tcW w:type="dxa" w:w="334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Zastępca koordynatora</w:t>
            </w:r>
          </w:p>
        </w:tc>
        <w:tc>
          <w:tcPr>
            <w:tcW w:type="dxa" w:w="334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Kanał zapasowy (grupa, radio)</w:t>
            </w:r>
          </w:p>
        </w:tc>
        <w:tc>
          <w:tcPr>
            <w:tcW w:type="dxa" w:w="334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Współpracująca gmina lub OPS</w:t>
            </w:r>
          </w:p>
        </w:tc>
        <w:tc>
          <w:tcPr>
            <w:tcW w:type="dxa" w:w="334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  <w:t>Kluczowy darczyńca lub grantodawca</w:t>
            </w:r>
          </w:p>
        </w:tc>
        <w:tc>
          <w:tcPr>
            <w:tcW w:type="dxa" w:w="334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345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28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</w:tbl>
    <w:p>
      <w:pPr>
        <w:spacing w:after="40"/>
      </w:pPr>
    </w:p>
    <w:p>
      <w:pPr>
        <w:spacing w:after="120" w:before="280"/>
      </w:pPr>
      <w:r>
        <w:rPr>
          <w:rFonts w:ascii="Arial" w:hAnsi="Arial"/>
          <w:b/>
          <w:i w:val="0"/>
          <w:color w:val="3D6B41"/>
          <w:sz w:val="30"/>
        </w:rPr>
        <w:t>7. Przegląd i aktualizacja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C2B1E"/>
          <w:sz w:val="21"/>
        </w:rPr>
        <w:t>Plan starzeje się od pierwszego dnia: zmieniają się ludzie, numery, zasoby. Zaplanujcie regularny przegląd, a po każdej realnej sytuacji kryzysowej zapiszcie wnioski.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space="0" w:color="D4DAD1"/>
          <w:left w:val="single" w:sz="4" w:space="0" w:color="D4DAD1"/>
          <w:bottom w:val="single" w:sz="4" w:space="0" w:color="D4DAD1"/>
          <w:right w:val="single" w:sz="4" w:space="0" w:color="D4DAD1"/>
          <w:insideH w:val="single" w:sz="4" w:space="0" w:color="D4DAD1"/>
          <w:insideV w:val="single" w:sz="4" w:space="0" w:color="D4DAD1"/>
        </w:tblBorders>
      </w:tblPr>
      <w:tblGrid>
        <w:gridCol w:w="3324"/>
        <w:gridCol w:w="3324"/>
        <w:gridCol w:w="3324"/>
      </w:tblGrid>
      <w:tr>
        <w:tc>
          <w:tcPr>
            <w:tcW w:type="dxa" w:w="2551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Data przeglądu</w:t>
            </w:r>
          </w:p>
        </w:tc>
        <w:tc>
          <w:tcPr>
            <w:tcW w:type="dxa" w:w="3118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Kto przeglądał</w:t>
            </w:r>
          </w:p>
        </w:tc>
        <w:tc>
          <w:tcPr>
            <w:tcW w:type="dxa" w:w="4252"/>
            <w:shd w:val="clear" w:fill="3D6B41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 zmieniono</w:t>
            </w:r>
          </w:p>
        </w:tc>
      </w:tr>
      <w:tr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425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425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  <w:tr>
        <w:tc>
          <w:tcPr>
            <w:tcW w:type="dxa" w:w="2551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3118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  <w:tc>
          <w:tcPr>
            <w:tcW w:type="dxa" w:w="4252"/>
          </w:tcPr>
          <w:p>
            <w:pPr>
              <w:spacing w:before="60" w:after="60"/>
            </w:pPr>
            <w:r>
              <w:rPr>
                <w:rFonts w:ascii="Arial" w:hAnsi="Arial"/>
                <w:b w:val="0"/>
                <w:i w:val="0"/>
                <w:color w:val="1C2B1E"/>
                <w:sz w:val="18"/>
              </w:rPr>
            </w:r>
          </w:p>
        </w:tc>
      </w:tr>
    </w:tbl>
    <w:p>
      <w:pPr>
        <w:spacing w:after="40"/>
      </w:pPr>
    </w:p>
    <w:p>
      <w:pPr>
        <w:spacing w:after="200"/>
        <w:pBdr>
          <w:bottom w:val="single" w:sz="4" w:space="6" w:color="D4DAD1"/>
        </w:pBdr>
      </w:pPr>
    </w:p>
    <w:p>
      <w:pPr>
        <w:spacing w:after="40" w:before="0"/>
      </w:pPr>
      <w:r>
        <w:rPr>
          <w:rFonts w:ascii="Arial" w:hAnsi="Arial"/>
          <w:b w:val="0"/>
          <w:i w:val="0"/>
          <w:color w:val="5F6B60"/>
          <w:sz w:val="17"/>
        </w:rPr>
        <w:t>Szablon: Forpost — forpost.pl · Gotowość. Zanim jej potrzebujesz.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3D6B41"/>
          <w:sz w:val="17"/>
        </w:rPr>
        <w:t>Potrzebujesz pomocy w wypełnieniu i przećwiczeniu planu? Napisz: michal@forpost.pl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C2B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